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7655E" w14:textId="2E5ADB01" w:rsidR="00CB319C" w:rsidRDefault="00000000" w:rsidP="00CB319C">
      <w:pPr>
        <w:jc w:val="center"/>
        <w:sectPr w:rsidR="00CB319C">
          <w:foot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>
        <w:rPr>
          <w:b/>
          <w:sz w:val="40"/>
        </w:rPr>
        <w:t>Global International Currency (GIC)</w:t>
      </w:r>
      <w:r>
        <w:rPr>
          <w:b/>
          <w:sz w:val="40"/>
        </w:rPr>
        <w:br/>
      </w:r>
      <w:r>
        <w:rPr>
          <w:sz w:val="28"/>
        </w:rPr>
        <w:br/>
      </w:r>
      <w:r w:rsidR="004A6DC3" w:rsidRPr="004A6DC3">
        <w:rPr>
          <w:sz w:val="28"/>
        </w:rPr>
        <w:t>Official Institutional Whitepaper</w:t>
      </w:r>
      <w:r>
        <w:rPr>
          <w:sz w:val="28"/>
        </w:rPr>
        <w:br/>
      </w:r>
      <w:r>
        <w:rPr>
          <w:b/>
          <w:sz w:val="36"/>
        </w:rPr>
        <w:br/>
      </w:r>
      <w:r w:rsidR="004A6DC3" w:rsidRPr="004A6DC3">
        <w:rPr>
          <w:b/>
          <w:sz w:val="36"/>
        </w:rPr>
        <w:t>Final Institutional Whitepaper</w:t>
      </w:r>
      <w:r>
        <w:rPr>
          <w:b/>
          <w:sz w:val="36"/>
        </w:rPr>
        <w:br/>
      </w:r>
      <w:r>
        <w:br/>
        <w:t>Version: v1.0</w:t>
      </w:r>
      <w:r>
        <w:br/>
        <w:t xml:space="preserve">Document Classification: </w:t>
      </w:r>
      <w:r w:rsidR="004A6DC3" w:rsidRPr="004A6DC3">
        <w:t>Public</w:t>
      </w:r>
    </w:p>
    <w:p w14:paraId="0413294F" w14:textId="77777777" w:rsidR="0023026A" w:rsidRDefault="0023026A" w:rsidP="0023026A">
      <w:pPr>
        <w:tabs>
          <w:tab w:val="left" w:pos="4890"/>
        </w:tabs>
      </w:pPr>
    </w:p>
    <w:p w14:paraId="055CD373" w14:textId="77777777" w:rsidR="0023026A" w:rsidRDefault="0023026A" w:rsidP="0023026A"/>
    <w:p w14:paraId="1D6CF765" w14:textId="77777777" w:rsidR="0023026A" w:rsidRDefault="0023026A" w:rsidP="0023026A">
      <w:r>
        <w:tab/>
      </w:r>
      <w:r>
        <w:rPr>
          <w:b/>
          <w:sz w:val="32"/>
        </w:rPr>
        <w:t>Table of Contents</w:t>
      </w:r>
    </w:p>
    <w:sdt>
      <w:sdtPr>
        <w:rPr>
          <w:lang w:val="fr-FR"/>
        </w:rPr>
        <w:id w:val="472954275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</w:rPr>
      </w:sdtEndPr>
      <w:sdtContent>
        <w:p w14:paraId="397D1444" w14:textId="29AC0B34" w:rsidR="00D3221D" w:rsidRDefault="00D3221D">
          <w:pPr>
            <w:pStyle w:val="En-ttedetabledesmatires"/>
          </w:pPr>
        </w:p>
        <w:p w14:paraId="62DC374D" w14:textId="1B1460A2" w:rsidR="00D3221D" w:rsidRDefault="00D3221D">
          <w:pPr>
            <w:pStyle w:val="TM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376903" w:history="1">
            <w:r w:rsidRPr="00CF4A44">
              <w:rPr>
                <w:rStyle w:val="Lienhypertexte"/>
                <w:noProof/>
              </w:rPr>
              <w:t>Final Institutional Whitepaper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270CC" w14:textId="58379EAA" w:rsidR="00D3221D" w:rsidRDefault="00D3221D">
          <w:pPr>
            <w:pStyle w:val="TM1"/>
            <w:tabs>
              <w:tab w:val="right" w:leader="dot" w:pos="8630"/>
            </w:tabs>
            <w:rPr>
              <w:noProof/>
            </w:rPr>
          </w:pPr>
          <w:hyperlink w:anchor="_Toc221376904" w:history="1">
            <w:r w:rsidRPr="00CF4A44">
              <w:rPr>
                <w:rStyle w:val="Lienhypertexte"/>
                <w:noProof/>
              </w:rPr>
              <w:t>Executive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E0432" w14:textId="2172869E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05" w:history="1">
            <w:r w:rsidRPr="00CF4A44">
              <w:rPr>
                <w:rStyle w:val="Lienhypertexte"/>
                <w:noProof/>
              </w:rPr>
              <w:t>1.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Global Problem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3D3F2" w14:textId="11FAF7C4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06" w:history="1">
            <w:r w:rsidRPr="00CF4A44">
              <w:rPr>
                <w:rStyle w:val="Lienhypertexte"/>
                <w:noProof/>
              </w:rPr>
              <w:t>2.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Vision and Purpose of GIC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86C654" w14:textId="5C50DC70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07" w:history="1">
            <w:r w:rsidRPr="00CF4A44">
              <w:rPr>
                <w:rStyle w:val="Lienhypertexte"/>
                <w:noProof/>
              </w:rPr>
              <w:t>3.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Conceptual Design of GIC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734F12" w14:textId="0A235E9C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08" w:history="1">
            <w:r w:rsidRPr="00CF4A44">
              <w:rPr>
                <w:rStyle w:val="Lienhypertexte"/>
                <w:noProof/>
              </w:rPr>
              <w:t>4.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Methodology Specification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D351E" w14:textId="11EE3F41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09" w:history="1">
            <w:r w:rsidRPr="00CF4A44">
              <w:rPr>
                <w:rStyle w:val="Lienhypertexte"/>
                <w:noProof/>
              </w:rPr>
              <w:t>5.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Governance and Oversight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B6FA1" w14:textId="4715EFC7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10" w:history="1">
            <w:r w:rsidRPr="00CF4A44">
              <w:rPr>
                <w:rStyle w:val="Lienhypertexte"/>
                <w:noProof/>
              </w:rPr>
              <w:t>6.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Risk Management and Safeguards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64203" w14:textId="675BA39D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11" w:history="1">
            <w:r w:rsidRPr="00CF4A44">
              <w:rPr>
                <w:rStyle w:val="Lienhypertexte"/>
                <w:noProof/>
              </w:rPr>
              <w:t>7.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Legal Positioning and Regulatory Framing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F54B7" w14:textId="0C7FADF5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12" w:history="1">
            <w:r w:rsidRPr="00CF4A44">
              <w:rPr>
                <w:rStyle w:val="Lienhypertexte"/>
                <w:noProof/>
              </w:rPr>
              <w:t>8.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Institutional and Investor Use Cases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D1D256" w14:textId="4D59A559" w:rsidR="00D3221D" w:rsidRDefault="00D3221D">
          <w:pPr>
            <w:pStyle w:val="TM2"/>
            <w:tabs>
              <w:tab w:val="left" w:pos="660"/>
              <w:tab w:val="right" w:leader="dot" w:pos="8630"/>
            </w:tabs>
            <w:rPr>
              <w:noProof/>
            </w:rPr>
          </w:pPr>
          <w:hyperlink w:anchor="_Toc221376913" w:history="1">
            <w:r w:rsidRPr="00CF4A44">
              <w:rPr>
                <w:rStyle w:val="Lienhypertexte"/>
                <w:noProof/>
              </w:rPr>
              <w:t>9.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Adoption Strategy and Phases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7F0F9F" w14:textId="5025C09D" w:rsidR="00D3221D" w:rsidRDefault="00D3221D">
          <w:pPr>
            <w:pStyle w:val="TM2"/>
            <w:tabs>
              <w:tab w:val="left" w:pos="880"/>
              <w:tab w:val="right" w:leader="dot" w:pos="8630"/>
            </w:tabs>
            <w:rPr>
              <w:noProof/>
            </w:rPr>
          </w:pPr>
          <w:hyperlink w:anchor="_Toc221376914" w:history="1">
            <w:r w:rsidRPr="00CF4A44">
              <w:rPr>
                <w:rStyle w:val="Lienhypertexte"/>
                <w:noProof/>
              </w:rPr>
              <w:t>10.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Transparency and Public Accountability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87338E" w14:textId="00493113" w:rsidR="00D3221D" w:rsidRDefault="00D3221D">
          <w:pPr>
            <w:pStyle w:val="TM2"/>
            <w:tabs>
              <w:tab w:val="left" w:pos="880"/>
              <w:tab w:val="right" w:leader="dot" w:pos="8630"/>
            </w:tabs>
            <w:rPr>
              <w:noProof/>
            </w:rPr>
          </w:pPr>
          <w:hyperlink w:anchor="_Toc221376915" w:history="1">
            <w:r w:rsidRPr="00CF4A44">
              <w:rPr>
                <w:rStyle w:val="Lienhypertexte"/>
                <w:noProof/>
              </w:rPr>
              <w:t>11.</w:t>
            </w:r>
            <w:r>
              <w:rPr>
                <w:noProof/>
              </w:rPr>
              <w:tab/>
            </w:r>
            <w:r w:rsidRPr="00CF4A44">
              <w:rPr>
                <w:rStyle w:val="Lienhypertexte"/>
                <w:noProof/>
              </w:rPr>
              <w:t>Long-Term 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1C4E6" w14:textId="034B67CD" w:rsidR="00D3221D" w:rsidRDefault="00D3221D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6916" w:history="1">
            <w:r w:rsidRPr="00CF4A44">
              <w:rPr>
                <w:rStyle w:val="Lienhypertexte"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_Toc221376916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7F34D8" w14:textId="7ED9D953" w:rsidR="00D3221D" w:rsidRDefault="00D3221D">
          <w:r>
            <w:rPr>
              <w:b/>
              <w:bCs/>
              <w:lang w:val="fr-FR"/>
            </w:rPr>
            <w:fldChar w:fldCharType="end"/>
          </w:r>
        </w:p>
      </w:sdtContent>
    </w:sdt>
    <w:p w14:paraId="75393740" w14:textId="56581A8F" w:rsidR="007E10B2" w:rsidRDefault="0023026A" w:rsidP="007E10B2">
      <w:pPr>
        <w:ind w:left="360"/>
      </w:pPr>
      <w:r>
        <w:br w:type="page"/>
      </w:r>
    </w:p>
    <w:p w14:paraId="0D07F89D" w14:textId="4006863B" w:rsidR="004A6DC3" w:rsidRDefault="004A6DC3" w:rsidP="007E10B2">
      <w:pPr>
        <w:pStyle w:val="Titre1"/>
      </w:pPr>
      <w:bookmarkStart w:id="0" w:name="_Toc221376903"/>
      <w:r>
        <w:lastRenderedPageBreak/>
        <w:t>Final Institutional Whitepaper</w:t>
      </w:r>
      <w:bookmarkEnd w:id="0"/>
    </w:p>
    <w:p w14:paraId="05D94CAC" w14:textId="77777777" w:rsidR="004A6DC3" w:rsidRDefault="004A6DC3" w:rsidP="007E10B2">
      <w:pPr>
        <w:pStyle w:val="Titre1"/>
      </w:pPr>
      <w:bookmarkStart w:id="1" w:name="_Toc221376904"/>
      <w:r>
        <w:t>Executive Summary</w:t>
      </w:r>
      <w:bookmarkEnd w:id="1"/>
    </w:p>
    <w:p w14:paraId="7C5F0759" w14:textId="77777777" w:rsidR="004A6DC3" w:rsidRDefault="004A6DC3" w:rsidP="004A6DC3">
      <w:r>
        <w:t>The Global International Currency (GIC) is a neutral, methodology-driven global reference unit designed to address structural inefficiencies in the international monetary system. GIC is not positioned as a replacement for national currencies, but as a standardized, transparent, and non-sovereign benchmark for global valuation, settlement, and economic coordination.</w:t>
      </w:r>
    </w:p>
    <w:p w14:paraId="64A9C941" w14:textId="77777777" w:rsidR="004A6DC3" w:rsidRDefault="004A6DC3" w:rsidP="004A6DC3">
      <w:r>
        <w:t>By aggregating diversified macroeconomic indicators and currency data through a governed methodology, GIC provides a stable reference layer that reduces volatility exposure, enhances cross-border comparability, and supports institutional decision-making in trade, finance, and long-term planning.</w:t>
      </w:r>
    </w:p>
    <w:p w14:paraId="609AC06B" w14:textId="77777777" w:rsidR="004A6DC3" w:rsidRDefault="004A6DC3" w:rsidP="004A6DC3">
      <w:r>
        <w:t>This whitepaper presents the institutional rationale, methodology framework, governance architecture, risk controls, and adoption roadmap of GIC, intended for policymakers, financial institutions, investors, and international stakeholders.</w:t>
      </w:r>
    </w:p>
    <w:p w14:paraId="2BD4A1BD" w14:textId="58C7A76E" w:rsidR="004A6DC3" w:rsidRDefault="004A6DC3" w:rsidP="00163C51">
      <w:pPr>
        <w:pStyle w:val="Titre2"/>
        <w:numPr>
          <w:ilvl w:val="0"/>
          <w:numId w:val="16"/>
        </w:numPr>
      </w:pPr>
      <w:bookmarkStart w:id="2" w:name="_Toc221376905"/>
      <w:r>
        <w:t>Global Problem Statement</w:t>
      </w:r>
      <w:bookmarkEnd w:id="2"/>
    </w:p>
    <w:p w14:paraId="174D9379" w14:textId="77777777" w:rsidR="004A6DC3" w:rsidRDefault="004A6DC3" w:rsidP="004A6DC3">
      <w:r>
        <w:t>The current international monetary landscape faces several systemic challenges:</w:t>
      </w:r>
    </w:p>
    <w:p w14:paraId="161F4B32" w14:textId="77777777" w:rsidR="004A6DC3" w:rsidRDefault="004A6DC3" w:rsidP="004A6DC3">
      <w:pPr>
        <w:pStyle w:val="Paragraphedeliste"/>
        <w:numPr>
          <w:ilvl w:val="0"/>
          <w:numId w:val="15"/>
        </w:numPr>
        <w:spacing w:line="360" w:lineRule="auto"/>
      </w:pPr>
      <w:r>
        <w:t>Persistent currency volatility affecting trade and investment</w:t>
      </w:r>
    </w:p>
    <w:p w14:paraId="49948685" w14:textId="77777777" w:rsidR="004A6DC3" w:rsidRDefault="004A6DC3" w:rsidP="004A6DC3">
      <w:pPr>
        <w:pStyle w:val="Paragraphedeliste"/>
        <w:numPr>
          <w:ilvl w:val="0"/>
          <w:numId w:val="15"/>
        </w:numPr>
        <w:spacing w:line="360" w:lineRule="auto"/>
      </w:pPr>
      <w:r>
        <w:t>Absence of a neutral global reference unit</w:t>
      </w:r>
    </w:p>
    <w:p w14:paraId="61F96F7C" w14:textId="77777777" w:rsidR="004A6DC3" w:rsidRDefault="004A6DC3" w:rsidP="004A6DC3">
      <w:pPr>
        <w:pStyle w:val="Paragraphedeliste"/>
        <w:numPr>
          <w:ilvl w:val="0"/>
          <w:numId w:val="15"/>
        </w:numPr>
        <w:spacing w:line="360" w:lineRule="auto"/>
      </w:pPr>
      <w:r>
        <w:t>Fragmentation caused by competing reserve currencies</w:t>
      </w:r>
    </w:p>
    <w:p w14:paraId="3936D9B7" w14:textId="77777777" w:rsidR="004A6DC3" w:rsidRDefault="004A6DC3" w:rsidP="004A6DC3">
      <w:pPr>
        <w:pStyle w:val="Paragraphedeliste"/>
        <w:numPr>
          <w:ilvl w:val="0"/>
          <w:numId w:val="15"/>
        </w:numPr>
        <w:spacing w:line="360" w:lineRule="auto"/>
      </w:pPr>
      <w:r>
        <w:t>Increasing complexity due to CBDCs and regional monetary blocs</w:t>
      </w:r>
    </w:p>
    <w:p w14:paraId="084B0A04" w14:textId="77777777" w:rsidR="004A6DC3" w:rsidRDefault="004A6DC3" w:rsidP="004A6DC3">
      <w:pPr>
        <w:pStyle w:val="Paragraphedeliste"/>
        <w:numPr>
          <w:ilvl w:val="0"/>
          <w:numId w:val="15"/>
        </w:numPr>
        <w:spacing w:line="360" w:lineRule="auto"/>
      </w:pPr>
      <w:r>
        <w:t>Rising geopolitical influence over currency valuation</w:t>
      </w:r>
    </w:p>
    <w:p w14:paraId="41CBE856" w14:textId="77777777" w:rsidR="004A6DC3" w:rsidRDefault="004A6DC3" w:rsidP="004A6DC3">
      <w:r>
        <w:t>These factors introduce inefficiencies, pricing distortions, and elevated risk premiums across global economic activities. There is a growing need for a neutral, transparent, and globally intelligible valuation framework that operates independently of national monetary policies.</w:t>
      </w:r>
    </w:p>
    <w:p w14:paraId="469CFD83" w14:textId="745F0216" w:rsidR="004A6DC3" w:rsidRDefault="004A6DC3" w:rsidP="00163C51">
      <w:pPr>
        <w:pStyle w:val="Titre2"/>
        <w:numPr>
          <w:ilvl w:val="0"/>
          <w:numId w:val="16"/>
        </w:numPr>
      </w:pPr>
      <w:bookmarkStart w:id="3" w:name="_Toc221376906"/>
      <w:r>
        <w:t>Vision and Purpose of GIC</w:t>
      </w:r>
      <w:bookmarkEnd w:id="3"/>
    </w:p>
    <w:p w14:paraId="0FB6755E" w14:textId="77777777" w:rsidR="004A6DC3" w:rsidRDefault="004A6DC3" w:rsidP="004A6DC3">
      <w:r>
        <w:t>The purpose of GIC is to establish a global monetary reference layer that:</w:t>
      </w:r>
    </w:p>
    <w:p w14:paraId="65C14467" w14:textId="77777777" w:rsidR="004A6DC3" w:rsidRDefault="004A6DC3" w:rsidP="004A6DC3">
      <w:pPr>
        <w:pStyle w:val="Paragraphedeliste"/>
        <w:numPr>
          <w:ilvl w:val="0"/>
          <w:numId w:val="15"/>
        </w:numPr>
      </w:pPr>
      <w:r>
        <w:t>Enhances price stability in international contexts</w:t>
      </w:r>
    </w:p>
    <w:p w14:paraId="426A1888" w14:textId="77777777" w:rsidR="004A6DC3" w:rsidRDefault="004A6DC3" w:rsidP="004A6DC3">
      <w:pPr>
        <w:pStyle w:val="Paragraphedeliste"/>
        <w:numPr>
          <w:ilvl w:val="0"/>
          <w:numId w:val="15"/>
        </w:numPr>
      </w:pPr>
      <w:r>
        <w:t>Provides a neutral benchmark for valuation and accounting</w:t>
      </w:r>
    </w:p>
    <w:p w14:paraId="7B3BEF92" w14:textId="77777777" w:rsidR="004A6DC3" w:rsidRDefault="004A6DC3" w:rsidP="004A6DC3">
      <w:pPr>
        <w:pStyle w:val="Paragraphedeliste"/>
        <w:numPr>
          <w:ilvl w:val="0"/>
          <w:numId w:val="15"/>
        </w:numPr>
      </w:pPr>
      <w:r>
        <w:t>Improves transparency in global economic coordination</w:t>
      </w:r>
    </w:p>
    <w:p w14:paraId="4562AFE5" w14:textId="77777777" w:rsidR="004A6DC3" w:rsidRDefault="004A6DC3" w:rsidP="004A6DC3">
      <w:pPr>
        <w:pStyle w:val="Paragraphedeliste"/>
        <w:numPr>
          <w:ilvl w:val="0"/>
          <w:numId w:val="15"/>
        </w:numPr>
      </w:pPr>
      <w:r>
        <w:t>Supports institutional and long-term financial planning</w:t>
      </w:r>
    </w:p>
    <w:p w14:paraId="7602C7C5" w14:textId="77777777" w:rsidR="004A6DC3" w:rsidRDefault="004A6DC3" w:rsidP="004A6DC3">
      <w:pPr>
        <w:pStyle w:val="Paragraphedeliste"/>
        <w:numPr>
          <w:ilvl w:val="0"/>
          <w:numId w:val="15"/>
        </w:numPr>
      </w:pPr>
      <w:r>
        <w:lastRenderedPageBreak/>
        <w:t>Operates independently from political or monetary dominance</w:t>
      </w:r>
    </w:p>
    <w:p w14:paraId="63B6B9C4" w14:textId="77777777" w:rsidR="004A6DC3" w:rsidRDefault="004A6DC3" w:rsidP="004A6DC3">
      <w:r>
        <w:t>GIC is designed as an analytical and reference instrument, not as a circulating legal tender or speculative asset.</w:t>
      </w:r>
    </w:p>
    <w:p w14:paraId="74016EF0" w14:textId="7B112503" w:rsidR="004A6DC3" w:rsidRDefault="004A6DC3" w:rsidP="00163C51">
      <w:pPr>
        <w:pStyle w:val="Titre2"/>
        <w:numPr>
          <w:ilvl w:val="0"/>
          <w:numId w:val="16"/>
        </w:numPr>
      </w:pPr>
      <w:bookmarkStart w:id="4" w:name="_Toc221376907"/>
      <w:r>
        <w:t>Conceptual Design of GIC</w:t>
      </w:r>
      <w:bookmarkEnd w:id="4"/>
    </w:p>
    <w:p w14:paraId="7609EC1D" w14:textId="77777777" w:rsidR="004A6DC3" w:rsidRDefault="004A6DC3" w:rsidP="004A6DC3">
      <w:r>
        <w:t>GIC represents a composite value derived from:</w:t>
      </w:r>
    </w:p>
    <w:p w14:paraId="75B40958" w14:textId="77777777" w:rsidR="004A6DC3" w:rsidRDefault="004A6DC3" w:rsidP="004A6DC3">
      <w:pPr>
        <w:pStyle w:val="Paragraphedeliste"/>
        <w:numPr>
          <w:ilvl w:val="0"/>
          <w:numId w:val="14"/>
        </w:numPr>
        <w:spacing w:line="360" w:lineRule="auto"/>
      </w:pPr>
      <w:r>
        <w:t>A diversified basket of national currencies</w:t>
      </w:r>
    </w:p>
    <w:p w14:paraId="16D77C11" w14:textId="77777777" w:rsidR="004A6DC3" w:rsidRDefault="004A6DC3" w:rsidP="004A6DC3">
      <w:pPr>
        <w:pStyle w:val="Paragraphedeliste"/>
        <w:numPr>
          <w:ilvl w:val="0"/>
          <w:numId w:val="14"/>
        </w:numPr>
        <w:spacing w:line="360" w:lineRule="auto"/>
      </w:pPr>
      <w:r>
        <w:t>Macroeconomic indicators</w:t>
      </w:r>
    </w:p>
    <w:p w14:paraId="63BF5ED5" w14:textId="77777777" w:rsidR="004A6DC3" w:rsidRDefault="004A6DC3" w:rsidP="004A6DC3">
      <w:pPr>
        <w:pStyle w:val="Paragraphedeliste"/>
        <w:numPr>
          <w:ilvl w:val="0"/>
          <w:numId w:val="14"/>
        </w:numPr>
        <w:spacing w:line="360" w:lineRule="auto"/>
      </w:pPr>
      <w:r>
        <w:t>Weighted methodologies governed by transparent rules</w:t>
      </w:r>
    </w:p>
    <w:p w14:paraId="3FA5F63C" w14:textId="77777777" w:rsidR="004A6DC3" w:rsidRDefault="004A6DC3" w:rsidP="004A6DC3">
      <w:pPr>
        <w:pStyle w:val="Paragraphedeliste"/>
        <w:numPr>
          <w:ilvl w:val="0"/>
          <w:numId w:val="14"/>
        </w:numPr>
        <w:spacing w:line="360" w:lineRule="auto"/>
      </w:pPr>
      <w:r>
        <w:t>Periodic recalibration mechanisms</w:t>
      </w:r>
    </w:p>
    <w:p w14:paraId="5CE42201" w14:textId="77777777" w:rsidR="004A6DC3" w:rsidRDefault="004A6DC3" w:rsidP="004A6DC3">
      <w:r>
        <w:t>The value of GIC reflects global economic equilibrium rather than the performance of any single economy or currency.</w:t>
      </w:r>
    </w:p>
    <w:p w14:paraId="36F961C5" w14:textId="52512BE7" w:rsidR="004A6DC3" w:rsidRDefault="004A6DC3" w:rsidP="00163C51">
      <w:pPr>
        <w:pStyle w:val="Titre2"/>
        <w:numPr>
          <w:ilvl w:val="0"/>
          <w:numId w:val="16"/>
        </w:numPr>
      </w:pPr>
      <w:bookmarkStart w:id="5" w:name="_Toc221376908"/>
      <w:r>
        <w:t>Methodology Specification</w:t>
      </w:r>
      <w:bookmarkEnd w:id="5"/>
      <w:r>
        <w:t xml:space="preserve"> </w:t>
      </w:r>
    </w:p>
    <w:p w14:paraId="1828A181" w14:textId="77777777" w:rsidR="004A6DC3" w:rsidRDefault="004A6DC3" w:rsidP="004A6DC3">
      <w:r>
        <w:t>The GIC methodology adheres to the following principles:</w:t>
      </w:r>
    </w:p>
    <w:p w14:paraId="69C88AA8" w14:textId="77777777" w:rsidR="004A6DC3" w:rsidRDefault="004A6DC3" w:rsidP="004A6DC3">
      <w:pPr>
        <w:pStyle w:val="Paragraphedeliste"/>
        <w:numPr>
          <w:ilvl w:val="0"/>
          <w:numId w:val="13"/>
        </w:numPr>
        <w:spacing w:line="360" w:lineRule="auto"/>
      </w:pPr>
      <w:r w:rsidRPr="00D64584">
        <w:rPr>
          <w:b/>
          <w:bCs/>
        </w:rPr>
        <w:t>Transparency:</w:t>
      </w:r>
      <w:r>
        <w:t xml:space="preserve"> All calculation logic is publicly documented</w:t>
      </w:r>
    </w:p>
    <w:p w14:paraId="4D7C4318" w14:textId="77777777" w:rsidR="004A6DC3" w:rsidRDefault="004A6DC3" w:rsidP="004A6DC3">
      <w:pPr>
        <w:pStyle w:val="Paragraphedeliste"/>
        <w:numPr>
          <w:ilvl w:val="0"/>
          <w:numId w:val="13"/>
        </w:numPr>
        <w:spacing w:line="360" w:lineRule="auto"/>
      </w:pPr>
      <w:r w:rsidRPr="00D64584">
        <w:rPr>
          <w:b/>
          <w:bCs/>
        </w:rPr>
        <w:t>Objectivity:</w:t>
      </w:r>
      <w:r>
        <w:t xml:space="preserve"> Data-driven weighting mechanisms</w:t>
      </w:r>
    </w:p>
    <w:p w14:paraId="3326D76C" w14:textId="77777777" w:rsidR="004A6DC3" w:rsidRDefault="004A6DC3" w:rsidP="004A6DC3">
      <w:pPr>
        <w:pStyle w:val="Paragraphedeliste"/>
        <w:numPr>
          <w:ilvl w:val="0"/>
          <w:numId w:val="13"/>
        </w:numPr>
        <w:spacing w:line="360" w:lineRule="auto"/>
      </w:pPr>
      <w:r w:rsidRPr="00D64584">
        <w:rPr>
          <w:b/>
          <w:bCs/>
        </w:rPr>
        <w:t>Stability:</w:t>
      </w:r>
      <w:r>
        <w:t xml:space="preserve"> Smoothing mechanisms to mitigate short-term shocks</w:t>
      </w:r>
    </w:p>
    <w:p w14:paraId="74230CB1" w14:textId="77777777" w:rsidR="004A6DC3" w:rsidRDefault="004A6DC3" w:rsidP="004A6DC3">
      <w:pPr>
        <w:pStyle w:val="Paragraphedeliste"/>
        <w:numPr>
          <w:ilvl w:val="0"/>
          <w:numId w:val="13"/>
        </w:numPr>
        <w:spacing w:line="360" w:lineRule="auto"/>
      </w:pPr>
      <w:r w:rsidRPr="00D64584">
        <w:rPr>
          <w:b/>
          <w:bCs/>
        </w:rPr>
        <w:t>Adaptability:</w:t>
      </w:r>
      <w:r>
        <w:t xml:space="preserve"> Periodic review and recalibration</w:t>
      </w:r>
    </w:p>
    <w:p w14:paraId="7FAAE6EC" w14:textId="77777777" w:rsidR="004A6DC3" w:rsidRDefault="004A6DC3" w:rsidP="004A6DC3">
      <w:pPr>
        <w:pStyle w:val="Paragraphedeliste"/>
        <w:numPr>
          <w:ilvl w:val="0"/>
          <w:numId w:val="13"/>
        </w:numPr>
        <w:spacing w:line="360" w:lineRule="auto"/>
      </w:pPr>
      <w:r w:rsidRPr="00D64584">
        <w:rPr>
          <w:b/>
          <w:bCs/>
        </w:rPr>
        <w:t>Auditability:</w:t>
      </w:r>
      <w:r>
        <w:t xml:space="preserve"> Independent verification of methodology and data inputs</w:t>
      </w:r>
    </w:p>
    <w:p w14:paraId="5A69D90E" w14:textId="77777777" w:rsidR="004A6DC3" w:rsidRDefault="004A6DC3" w:rsidP="004A6DC3">
      <w:r>
        <w:t>The detailed calculation framework, weighting logic, and stress testing scenarios are documented in a separate Methodology Specification document.</w:t>
      </w:r>
    </w:p>
    <w:p w14:paraId="29B8C887" w14:textId="1FF95045" w:rsidR="004A6DC3" w:rsidRDefault="004A6DC3" w:rsidP="00163C51">
      <w:pPr>
        <w:pStyle w:val="Titre2"/>
        <w:numPr>
          <w:ilvl w:val="0"/>
          <w:numId w:val="16"/>
        </w:numPr>
      </w:pPr>
      <w:bookmarkStart w:id="6" w:name="_Toc221376909"/>
      <w:r>
        <w:t>Governance and Oversight Framework</w:t>
      </w:r>
      <w:bookmarkEnd w:id="6"/>
    </w:p>
    <w:p w14:paraId="30F19FBC" w14:textId="77777777" w:rsidR="004A6DC3" w:rsidRDefault="004A6DC3" w:rsidP="004A6DC3">
      <w:r>
        <w:t>GIC operates under a multi-layered governance structure designed to ensure credibility, independence, and accountability.</w:t>
      </w:r>
    </w:p>
    <w:p w14:paraId="4089CE15" w14:textId="77777777" w:rsidR="004A6DC3" w:rsidRPr="00D64584" w:rsidRDefault="004A6DC3" w:rsidP="004A6DC3">
      <w:pPr>
        <w:rPr>
          <w:b/>
          <w:bCs/>
        </w:rPr>
      </w:pPr>
      <w:r w:rsidRPr="00D64584">
        <w:rPr>
          <w:b/>
          <w:bCs/>
        </w:rPr>
        <w:t>5.1 Global Oversight Council</w:t>
      </w:r>
    </w:p>
    <w:p w14:paraId="01B3CCDB" w14:textId="77777777" w:rsidR="004A6DC3" w:rsidRDefault="004A6DC3" w:rsidP="004A6DC3">
      <w:r>
        <w:t>Provides strategic direction and institutional alignment.</w:t>
      </w:r>
    </w:p>
    <w:p w14:paraId="69C69D23" w14:textId="77777777" w:rsidR="004A6DC3" w:rsidRPr="00D64584" w:rsidRDefault="004A6DC3" w:rsidP="004A6DC3">
      <w:pPr>
        <w:rPr>
          <w:b/>
          <w:bCs/>
        </w:rPr>
      </w:pPr>
      <w:r w:rsidRPr="00D64584">
        <w:rPr>
          <w:b/>
          <w:bCs/>
        </w:rPr>
        <w:t>5.2 Technical and Methodology Committee</w:t>
      </w:r>
    </w:p>
    <w:p w14:paraId="03872EAC" w14:textId="77777777" w:rsidR="004A6DC3" w:rsidRDefault="004A6DC3" w:rsidP="004A6DC3">
      <w:r>
        <w:t>Responsible for maintaining calculation integrity and data models.</w:t>
      </w:r>
    </w:p>
    <w:p w14:paraId="741636A0" w14:textId="77777777" w:rsidR="004A6DC3" w:rsidRPr="00D64584" w:rsidRDefault="004A6DC3" w:rsidP="004A6DC3">
      <w:pPr>
        <w:rPr>
          <w:b/>
          <w:bCs/>
        </w:rPr>
      </w:pPr>
      <w:r w:rsidRPr="00D64584">
        <w:rPr>
          <w:b/>
          <w:bCs/>
        </w:rPr>
        <w:t>5.3 Risk and Compliance Committee</w:t>
      </w:r>
    </w:p>
    <w:p w14:paraId="133A9688" w14:textId="77777777" w:rsidR="004A6DC3" w:rsidRDefault="004A6DC3" w:rsidP="004A6DC3">
      <w:r>
        <w:lastRenderedPageBreak/>
        <w:t>Oversees risk exposure, regulatory alignment, and safeguards.</w:t>
      </w:r>
    </w:p>
    <w:p w14:paraId="49ADA35E" w14:textId="77777777" w:rsidR="004A6DC3" w:rsidRPr="00D64584" w:rsidRDefault="004A6DC3" w:rsidP="004A6DC3">
      <w:pPr>
        <w:rPr>
          <w:b/>
          <w:bCs/>
        </w:rPr>
      </w:pPr>
      <w:r w:rsidRPr="00D64584">
        <w:rPr>
          <w:b/>
          <w:bCs/>
        </w:rPr>
        <w:t>5.4 Independent Audit and Review</w:t>
      </w:r>
    </w:p>
    <w:p w14:paraId="25611D53" w14:textId="77777777" w:rsidR="004A6DC3" w:rsidRDefault="004A6DC3" w:rsidP="004A6DC3">
      <w:r>
        <w:t>External audits validate data integrity, processes, and governance adherence.</w:t>
      </w:r>
    </w:p>
    <w:p w14:paraId="19AEBA45" w14:textId="77777777" w:rsidR="004A6DC3" w:rsidRDefault="004A6DC3" w:rsidP="004A6DC3">
      <w:r>
        <w:t>Governance bodies operate under strict conflict-of-interest policies and transparency standards.</w:t>
      </w:r>
    </w:p>
    <w:p w14:paraId="5F2C969F" w14:textId="477E33B9" w:rsidR="004A6DC3" w:rsidRDefault="004A6DC3" w:rsidP="00163C51">
      <w:pPr>
        <w:pStyle w:val="Titre2"/>
        <w:numPr>
          <w:ilvl w:val="0"/>
          <w:numId w:val="16"/>
        </w:numPr>
      </w:pPr>
      <w:bookmarkStart w:id="7" w:name="_Toc221376910"/>
      <w:r>
        <w:t>Risk Management and Safeguards</w:t>
      </w:r>
      <w:bookmarkEnd w:id="7"/>
    </w:p>
    <w:p w14:paraId="4C9B3C62" w14:textId="77777777" w:rsidR="004A6DC3" w:rsidRDefault="004A6DC3" w:rsidP="004A6DC3">
      <w:r>
        <w:t>GIC incorporates robust risk management mechanisms, including:</w:t>
      </w:r>
    </w:p>
    <w:p w14:paraId="7A6867A5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Stress testing against extreme macroeconomic scenarios</w:t>
      </w:r>
    </w:p>
    <w:p w14:paraId="125D224D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Data redundancy and validation layers</w:t>
      </w:r>
    </w:p>
    <w:p w14:paraId="19F9931B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Methodology safeguards against manipulation</w:t>
      </w:r>
    </w:p>
    <w:p w14:paraId="168D2FF4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Governance escalation protocols</w:t>
      </w:r>
    </w:p>
    <w:p w14:paraId="41755F82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Periodic risk disclosures</w:t>
      </w:r>
    </w:p>
    <w:p w14:paraId="4EDDDD16" w14:textId="77777777" w:rsidR="004A6DC3" w:rsidRDefault="004A6DC3" w:rsidP="004A6DC3">
      <w:r>
        <w:t>GIC does not assume credit, counterparty, or monetary policy risk.</w:t>
      </w:r>
    </w:p>
    <w:p w14:paraId="30776D2F" w14:textId="69B59A02" w:rsidR="004A6DC3" w:rsidRDefault="004A6DC3" w:rsidP="00163C51">
      <w:pPr>
        <w:pStyle w:val="Titre2"/>
        <w:numPr>
          <w:ilvl w:val="0"/>
          <w:numId w:val="16"/>
        </w:numPr>
      </w:pPr>
      <w:bookmarkStart w:id="8" w:name="_Toc221376911"/>
      <w:r>
        <w:t>Legal Positioning and Regulatory Framing</w:t>
      </w:r>
      <w:bookmarkEnd w:id="8"/>
    </w:p>
    <w:p w14:paraId="70A475E5" w14:textId="77777777" w:rsidR="004A6DC3" w:rsidRDefault="004A6DC3" w:rsidP="004A6DC3">
      <w:r>
        <w:t>GIC is positioned as:</w:t>
      </w:r>
    </w:p>
    <w:p w14:paraId="704BB984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A non-sovereign reference index</w:t>
      </w:r>
    </w:p>
    <w:p w14:paraId="2418E960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A methodological and analytical construct</w:t>
      </w:r>
    </w:p>
    <w:p w14:paraId="6ABDDB6B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Not a security, currency, or investment product</w:t>
      </w:r>
    </w:p>
    <w:p w14:paraId="10978605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Not legal tender in any jurisdiction</w:t>
      </w:r>
    </w:p>
    <w:p w14:paraId="1FFD21BE" w14:textId="77777777" w:rsidR="004A6DC3" w:rsidRDefault="004A6DC3" w:rsidP="004A6DC3">
      <w:r>
        <w:t>Its design aligns with international best practices for indices, benchmarks, and reference frameworks, facilitating regulatory compatibility across jurisdictions.</w:t>
      </w:r>
    </w:p>
    <w:p w14:paraId="4D044B24" w14:textId="57C47B58" w:rsidR="004A6DC3" w:rsidRDefault="004A6DC3" w:rsidP="00163C51">
      <w:pPr>
        <w:pStyle w:val="Titre2"/>
        <w:numPr>
          <w:ilvl w:val="0"/>
          <w:numId w:val="16"/>
        </w:numPr>
      </w:pPr>
      <w:bookmarkStart w:id="9" w:name="_Toc221376912"/>
      <w:r>
        <w:t>Institutional and Investor Use Cases</w:t>
      </w:r>
      <w:bookmarkEnd w:id="9"/>
    </w:p>
    <w:p w14:paraId="38C38B1B" w14:textId="77777777" w:rsidR="004A6DC3" w:rsidRDefault="004A6DC3" w:rsidP="004A6DC3">
      <w:r>
        <w:t>Potential institutional applications include:</w:t>
      </w:r>
    </w:p>
    <w:p w14:paraId="40BC5B48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Cross-border trade pricing references</w:t>
      </w:r>
    </w:p>
    <w:p w14:paraId="1506B625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Long-term contract indexing</w:t>
      </w:r>
    </w:p>
    <w:p w14:paraId="3D866CE1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Macroeconomic benchmarking</w:t>
      </w:r>
    </w:p>
    <w:p w14:paraId="690BB97F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Portfolio diversification analysis</w:t>
      </w:r>
    </w:p>
    <w:p w14:paraId="01D81B1A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Risk-neutral valuation frameworks</w:t>
      </w:r>
    </w:p>
    <w:p w14:paraId="5A945F61" w14:textId="77777777" w:rsidR="004A6DC3" w:rsidRDefault="004A6DC3" w:rsidP="004A6DC3">
      <w:pPr>
        <w:pStyle w:val="Paragraphedeliste"/>
        <w:numPr>
          <w:ilvl w:val="0"/>
          <w:numId w:val="12"/>
        </w:numPr>
      </w:pPr>
      <w:r>
        <w:t>Economic research and policy analysis</w:t>
      </w:r>
    </w:p>
    <w:p w14:paraId="091BE928" w14:textId="77777777" w:rsidR="004A6DC3" w:rsidRDefault="004A6DC3" w:rsidP="004A6DC3">
      <w:r>
        <w:t>GIC provides value without requiring adoption as a transactional currency.</w:t>
      </w:r>
    </w:p>
    <w:p w14:paraId="0ECC50A4" w14:textId="790D8771" w:rsidR="004A6DC3" w:rsidRDefault="004A6DC3" w:rsidP="00163C51">
      <w:pPr>
        <w:pStyle w:val="Titre2"/>
        <w:numPr>
          <w:ilvl w:val="0"/>
          <w:numId w:val="16"/>
        </w:numPr>
      </w:pPr>
      <w:bookmarkStart w:id="10" w:name="_Toc221376913"/>
      <w:r>
        <w:lastRenderedPageBreak/>
        <w:t>Adoption Strategy and Phases</w:t>
      </w:r>
      <w:bookmarkEnd w:id="10"/>
    </w:p>
    <w:p w14:paraId="4F3E6464" w14:textId="77777777" w:rsidR="004A6DC3" w:rsidRDefault="004A6DC3" w:rsidP="004A6DC3">
      <w:r>
        <w:t>Adoption is structured across progressive phases:</w:t>
      </w:r>
    </w:p>
    <w:p w14:paraId="279E2EBD" w14:textId="77777777" w:rsidR="004A6DC3" w:rsidRDefault="004A6DC3" w:rsidP="004A6DC3">
      <w:pPr>
        <w:pStyle w:val="Paragraphedeliste"/>
        <w:numPr>
          <w:ilvl w:val="0"/>
          <w:numId w:val="11"/>
        </w:numPr>
      </w:pPr>
      <w:r>
        <w:t>Institutional Validation: Methodology review and stakeholder engagement</w:t>
      </w:r>
    </w:p>
    <w:p w14:paraId="7A73DD67" w14:textId="77777777" w:rsidR="004A6DC3" w:rsidRDefault="004A6DC3" w:rsidP="004A6DC3">
      <w:pPr>
        <w:pStyle w:val="Paragraphedeliste"/>
        <w:numPr>
          <w:ilvl w:val="0"/>
          <w:numId w:val="11"/>
        </w:numPr>
      </w:pPr>
      <w:r>
        <w:t>Pilot Integration: Use in analytical and reporting contexts</w:t>
      </w:r>
    </w:p>
    <w:p w14:paraId="4A01A2F7" w14:textId="77777777" w:rsidR="004A6DC3" w:rsidRDefault="004A6DC3" w:rsidP="004A6DC3">
      <w:pPr>
        <w:pStyle w:val="Paragraphedeliste"/>
        <w:numPr>
          <w:ilvl w:val="0"/>
          <w:numId w:val="11"/>
        </w:numPr>
      </w:pPr>
      <w:r>
        <w:t>Standardization: Recognition as a reference benchmark</w:t>
      </w:r>
    </w:p>
    <w:p w14:paraId="3BD5C2F6" w14:textId="77777777" w:rsidR="004A6DC3" w:rsidRDefault="004A6DC3" w:rsidP="004A6DC3">
      <w:pPr>
        <w:pStyle w:val="Paragraphedeliste"/>
        <w:numPr>
          <w:ilvl w:val="0"/>
          <w:numId w:val="11"/>
        </w:numPr>
      </w:pPr>
      <w:r>
        <w:t>Ecosystem Integration: Adoption by platforms, institutions, and frameworks</w:t>
      </w:r>
    </w:p>
    <w:p w14:paraId="12A51A0E" w14:textId="77777777" w:rsidR="004A6DC3" w:rsidRDefault="004A6DC3" w:rsidP="004A6DC3">
      <w:r>
        <w:t>Each phase prioritizes credibility, transparency, and voluntary adoption.</w:t>
      </w:r>
    </w:p>
    <w:p w14:paraId="62E557E3" w14:textId="0273E79C" w:rsidR="004A6DC3" w:rsidRDefault="004A6DC3" w:rsidP="00163C51">
      <w:pPr>
        <w:pStyle w:val="Titre2"/>
        <w:numPr>
          <w:ilvl w:val="0"/>
          <w:numId w:val="16"/>
        </w:numPr>
      </w:pPr>
      <w:bookmarkStart w:id="11" w:name="_Toc221376914"/>
      <w:r>
        <w:t>Transparency and Public Accountability</w:t>
      </w:r>
      <w:bookmarkEnd w:id="11"/>
    </w:p>
    <w:p w14:paraId="13698046" w14:textId="77777777" w:rsidR="004A6DC3" w:rsidRDefault="004A6DC3" w:rsidP="004A6DC3">
      <w:r>
        <w:t>Transparency is a foundational pillar of GIC:</w:t>
      </w:r>
    </w:p>
    <w:p w14:paraId="516ACAFB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Public documentation of methodologies</w:t>
      </w:r>
    </w:p>
    <w:p w14:paraId="08F9D8F4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Periodic governance reports</w:t>
      </w:r>
    </w:p>
    <w:p w14:paraId="7404ACFA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Audit disclosures</w:t>
      </w:r>
    </w:p>
    <w:p w14:paraId="726CF6B1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Open communication with stakeholders</w:t>
      </w:r>
    </w:p>
    <w:p w14:paraId="5940D883" w14:textId="43A833EB" w:rsidR="004A6DC3" w:rsidRPr="00163C51" w:rsidRDefault="004A6DC3" w:rsidP="004A6DC3">
      <w:pPr>
        <w:rPr>
          <w:lang w:val="fr-DZ"/>
        </w:rPr>
      </w:pPr>
      <w:r>
        <w:t>This ensures trust, legitimacy, and long-term sustainability.</w:t>
      </w:r>
    </w:p>
    <w:p w14:paraId="27BF0F4E" w14:textId="336AD76F" w:rsidR="004A6DC3" w:rsidRDefault="004A6DC3" w:rsidP="00163C51">
      <w:pPr>
        <w:pStyle w:val="Titre2"/>
        <w:numPr>
          <w:ilvl w:val="0"/>
          <w:numId w:val="16"/>
        </w:numPr>
      </w:pPr>
      <w:bookmarkStart w:id="12" w:name="_Toc221376915"/>
      <w:r>
        <w:t>Long-Term Vision</w:t>
      </w:r>
      <w:bookmarkEnd w:id="12"/>
    </w:p>
    <w:p w14:paraId="67BAE485" w14:textId="77777777" w:rsidR="004A6DC3" w:rsidRDefault="004A6DC3" w:rsidP="004A6DC3">
      <w:r>
        <w:t>GIC aims to evolve as a global economic reference infrastructure, supporting:</w:t>
      </w:r>
    </w:p>
    <w:p w14:paraId="07DDC392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Multipolar economic systems</w:t>
      </w:r>
    </w:p>
    <w:p w14:paraId="61A4782D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Neutral valuation standards</w:t>
      </w:r>
    </w:p>
    <w:p w14:paraId="7DA342C4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Data-driven global coordination</w:t>
      </w:r>
    </w:p>
    <w:p w14:paraId="7B455309" w14:textId="77777777" w:rsidR="004A6DC3" w:rsidRDefault="004A6DC3" w:rsidP="004A6DC3">
      <w:pPr>
        <w:pStyle w:val="Paragraphedeliste"/>
        <w:numPr>
          <w:ilvl w:val="0"/>
          <w:numId w:val="10"/>
        </w:numPr>
      </w:pPr>
      <w:r>
        <w:t>Institutional resilience against monetary fragmentation</w:t>
      </w:r>
    </w:p>
    <w:p w14:paraId="2D8F6799" w14:textId="77777777" w:rsidR="004A6DC3" w:rsidRDefault="004A6DC3" w:rsidP="004A6DC3">
      <w:r>
        <w:t>The framework is designed for long-term relevance and adaptability.</w:t>
      </w:r>
    </w:p>
    <w:p w14:paraId="71861EA3" w14:textId="77777777" w:rsidR="004A6DC3" w:rsidRDefault="004A6DC3" w:rsidP="004A6DC3"/>
    <w:p w14:paraId="41524D0C" w14:textId="633F77F5" w:rsidR="004A6DC3" w:rsidRDefault="004A6DC3" w:rsidP="004A6DC3">
      <w:pPr>
        <w:pStyle w:val="Titre2"/>
      </w:pPr>
      <w:bookmarkStart w:id="13" w:name="_Toc221376916"/>
      <w:r>
        <w:t>Conclusion</w:t>
      </w:r>
      <w:bookmarkEnd w:id="13"/>
    </w:p>
    <w:p w14:paraId="0D62ACB0" w14:textId="77777777" w:rsidR="004A6DC3" w:rsidRDefault="004A6DC3" w:rsidP="004A6DC3">
      <w:r>
        <w:t>The Global International Currency (GIC) represents a strategic response to structural limitations in the current international monetary system. By introducing a neutral, transparent, and institutionally governed reference layer, GIC enhances global economic coherence without disrupting national monetary sovereignty.</w:t>
      </w:r>
    </w:p>
    <w:p w14:paraId="53C02D96" w14:textId="1D87A1EC" w:rsidR="004A6DC3" w:rsidRPr="0023026A" w:rsidRDefault="004A6DC3" w:rsidP="004A6DC3">
      <w:pPr>
        <w:tabs>
          <w:tab w:val="left" w:pos="3267"/>
        </w:tabs>
        <w:sectPr w:rsidR="004A6DC3" w:rsidRPr="0023026A" w:rsidSect="00CB319C"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t>GIC is not a speculative instrument, but a foundational benchmark—designed to support stability, trust, a</w:t>
      </w:r>
    </w:p>
    <w:p w14:paraId="606AD4D2" w14:textId="764E4B92" w:rsidR="00DA2FE4" w:rsidRDefault="00000000">
      <w:r>
        <w:lastRenderedPageBreak/>
        <w:t>.</w:t>
      </w:r>
    </w:p>
    <w:sectPr w:rsidR="00DA2FE4" w:rsidSect="00034616">
      <w:type w:val="nextColumn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B30CF" w14:textId="77777777" w:rsidR="00B471B6" w:rsidRDefault="00B471B6">
      <w:pPr>
        <w:spacing w:line="240" w:lineRule="auto"/>
      </w:pPr>
      <w:r>
        <w:separator/>
      </w:r>
    </w:p>
  </w:endnote>
  <w:endnote w:type="continuationSeparator" w:id="0">
    <w:p w14:paraId="6B182460" w14:textId="77777777" w:rsidR="00B471B6" w:rsidRDefault="00B471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B92E" w14:textId="0FB14E53" w:rsidR="00DA2FE4" w:rsidRDefault="00000000" w:rsidP="004A6DC3">
    <w:pPr>
      <w:pStyle w:val="Pieddepage"/>
      <w:jc w:val="center"/>
    </w:pPr>
    <w:r>
      <w:t xml:space="preserve">© Global International Currency (GIC) — </w:t>
    </w:r>
    <w:r w:rsidR="004A6DC3" w:rsidRPr="004A6DC3">
      <w:t>Public Documentation</w:t>
    </w:r>
  </w:p>
  <w:p w14:paraId="1E3DCDF0" w14:textId="57577B3D" w:rsidR="00DA2FE4" w:rsidRDefault="00DA2FE4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1AF53" w14:textId="1F6F02E1" w:rsidR="00CB319C" w:rsidRDefault="00CB319C" w:rsidP="004A6DC3">
    <w:pPr>
      <w:pStyle w:val="Pieddepage"/>
      <w:jc w:val="center"/>
    </w:pPr>
    <w:r>
      <w:t xml:space="preserve">© Global International Currency (GIC) — </w:t>
    </w:r>
    <w:r w:rsidR="004A6DC3" w:rsidRPr="004A6DC3">
      <w:t>Public Documentation</w:t>
    </w:r>
  </w:p>
  <w:p w14:paraId="4D0FE7C8" w14:textId="77777777" w:rsidR="00CB319C" w:rsidRDefault="00CB319C" w:rsidP="004A6DC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03ADF" w14:textId="77777777" w:rsidR="00B471B6" w:rsidRDefault="00B471B6">
      <w:pPr>
        <w:spacing w:line="240" w:lineRule="auto"/>
      </w:pPr>
      <w:r>
        <w:separator/>
      </w:r>
    </w:p>
  </w:footnote>
  <w:footnote w:type="continuationSeparator" w:id="0">
    <w:p w14:paraId="569F6C03" w14:textId="77777777" w:rsidR="00B471B6" w:rsidRDefault="00B471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8452EA"/>
    <w:multiLevelType w:val="hybridMultilevel"/>
    <w:tmpl w:val="A756253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D7CCA"/>
    <w:multiLevelType w:val="hybridMultilevel"/>
    <w:tmpl w:val="6BEE0EF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93D27"/>
    <w:multiLevelType w:val="hybridMultilevel"/>
    <w:tmpl w:val="773A6D1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94783"/>
    <w:multiLevelType w:val="hybridMultilevel"/>
    <w:tmpl w:val="395629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F02C1"/>
    <w:multiLevelType w:val="hybridMultilevel"/>
    <w:tmpl w:val="9DB0034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774B3B"/>
    <w:multiLevelType w:val="hybridMultilevel"/>
    <w:tmpl w:val="A538E3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86A55"/>
    <w:multiLevelType w:val="hybridMultilevel"/>
    <w:tmpl w:val="1E922A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6318DA"/>
    <w:multiLevelType w:val="hybridMultilevel"/>
    <w:tmpl w:val="3C6EBA9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80AF8"/>
    <w:multiLevelType w:val="hybridMultilevel"/>
    <w:tmpl w:val="5BECEAF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F144B2"/>
    <w:multiLevelType w:val="hybridMultilevel"/>
    <w:tmpl w:val="2C3A39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895037">
    <w:abstractNumId w:val="8"/>
  </w:num>
  <w:num w:numId="2" w16cid:durableId="1497301767">
    <w:abstractNumId w:val="6"/>
  </w:num>
  <w:num w:numId="3" w16cid:durableId="420684039">
    <w:abstractNumId w:val="5"/>
  </w:num>
  <w:num w:numId="4" w16cid:durableId="1222594326">
    <w:abstractNumId w:val="4"/>
  </w:num>
  <w:num w:numId="5" w16cid:durableId="1371763822">
    <w:abstractNumId w:val="7"/>
  </w:num>
  <w:num w:numId="6" w16cid:durableId="488406136">
    <w:abstractNumId w:val="3"/>
  </w:num>
  <w:num w:numId="7" w16cid:durableId="833109333">
    <w:abstractNumId w:val="2"/>
  </w:num>
  <w:num w:numId="8" w16cid:durableId="73010908">
    <w:abstractNumId w:val="1"/>
  </w:num>
  <w:num w:numId="9" w16cid:durableId="356084767">
    <w:abstractNumId w:val="0"/>
  </w:num>
  <w:num w:numId="10" w16cid:durableId="2084915596">
    <w:abstractNumId w:val="10"/>
  </w:num>
  <w:num w:numId="11" w16cid:durableId="1658070796">
    <w:abstractNumId w:val="11"/>
  </w:num>
  <w:num w:numId="12" w16cid:durableId="1210653839">
    <w:abstractNumId w:val="15"/>
  </w:num>
  <w:num w:numId="13" w16cid:durableId="1480607417">
    <w:abstractNumId w:val="16"/>
  </w:num>
  <w:num w:numId="14" w16cid:durableId="921915419">
    <w:abstractNumId w:val="18"/>
  </w:num>
  <w:num w:numId="15" w16cid:durableId="1746879087">
    <w:abstractNumId w:val="14"/>
  </w:num>
  <w:num w:numId="16" w16cid:durableId="1560705414">
    <w:abstractNumId w:val="17"/>
  </w:num>
  <w:num w:numId="17" w16cid:durableId="562565023">
    <w:abstractNumId w:val="9"/>
  </w:num>
  <w:num w:numId="18" w16cid:durableId="35858806">
    <w:abstractNumId w:val="13"/>
  </w:num>
  <w:num w:numId="19" w16cid:durableId="14493495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C51"/>
    <w:rsid w:val="001E7BBA"/>
    <w:rsid w:val="0023026A"/>
    <w:rsid w:val="0029639D"/>
    <w:rsid w:val="00326F90"/>
    <w:rsid w:val="004A6DC3"/>
    <w:rsid w:val="005666A4"/>
    <w:rsid w:val="00796F4D"/>
    <w:rsid w:val="007E10B2"/>
    <w:rsid w:val="00AA1D8D"/>
    <w:rsid w:val="00B471B6"/>
    <w:rsid w:val="00B47730"/>
    <w:rsid w:val="00BB55EE"/>
    <w:rsid w:val="00CB0664"/>
    <w:rsid w:val="00CB319C"/>
    <w:rsid w:val="00D3221D"/>
    <w:rsid w:val="00DA2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E9F8C94"/>
  <w14:defaultImageDpi w14:val="300"/>
  <w15:docId w15:val="{03DB991D-69BF-4E69-BAD3-6141918B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D3221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3221D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D322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7</Pages>
  <Words>1149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madani douba</cp:lastModifiedBy>
  <cp:revision>7</cp:revision>
  <dcterms:created xsi:type="dcterms:W3CDTF">2013-12-23T23:15:00Z</dcterms:created>
  <dcterms:modified xsi:type="dcterms:W3CDTF">2026-02-07T16:15:00Z</dcterms:modified>
  <cp:category/>
</cp:coreProperties>
</file>